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Mapping cybersecurity education worldwide</w:t>
      </w:r>
    </w:p>
    <w:p>
      <w:pPr>
        <w:pStyle w:val="Subtitle"/>
      </w:pPr>
      <w:r>
        <w:t>A descriptive evidence atlas across 218 jurisdictions</w:t>
      </w:r>
    </w:p>
    <w:p>
      <w:r>
        <w:t>Federico Pacheco · Universidad Tecnológica Nacional · ORCID 0000-0002-2803-1162</w:t>
      </w:r>
    </w:p>
    <w:p>
      <w:r>
        <w:t>Working manuscript v4.0 · full edition · revised 2 November 2026</w:t>
      </w:r>
    </w:p>
    <w:p>
      <w:r>
        <w:t>Global data cut-off 29 August 2026 · supplemental source checks through 2 November 2026 · descriptive mapping study</w:t>
      </w:r>
    </w:p>
    <w:p>
      <w:pPr>
        <w:pStyle w:val="Heading1"/>
      </w:pPr>
      <w:r>
        <w:t>Abstract</w:t>
      </w:r>
    </w:p>
    <w:p>
      <w:r>
        <w:t>This study maps the documented worldwide landscape of cybersecurity education using a frozen public-evidence atlas. We combine a global candidate layer with a separately curated five-country pilot, preserving source, credential and temporal distinctions. Across 218 evaluated jurisdictions, the global layer retains 7,167 candidate rows in 194 countries; four additional countries are represented only in the pilot, and 20 jurisdictions have no retained rows in the consulted frames. The pilot contains 616 records across Spain, Australia, Brazil, Canada and Morocco and overlaps the global layer in Australia; its total is not added to the global count. Documented education spans undergraduate and postgraduate awards, short-cycle and certificate routes, and embedded pathways. The five largest country frames contain 58.6% of candidate rows, while 115 positive frames contain nine or fewer. Regulatory URL fields alone are populated in 74.6% of rows. These patterns describe the evidence assembled, not national educational capacity. Bounded country checks demonstrate that language, source coverage, counting units and evidence dates affect the map. A separate 400-case audit did not identify a precise eligible-current share, so no adjusted global programme total is estimated. The contribution is a traceable descriptive baseline and jurisdiction atlas for locating documented education and identifying where comparable evidence remains insufficient.</w:t>
      </w:r>
    </w:p>
    <w:p>
      <w:r>
        <w:t>Keywords: cybersecurity education; global mapping; education provision; public evidence; higher education; educational pathways</w:t>
      </w:r>
    </w:p>
    <w:p>
      <w:pPr>
        <w:pStyle w:val="Heading1"/>
      </w:pPr>
      <w:r>
        <w:t>1 Introduction</w:t>
      </w:r>
    </w:p>
    <w:p>
      <w:r>
        <w:t>Where is cybersecurity education documented around the world, what forms does it take, and how well does the available evidence describe it? These are practical questions for students locating educational routes, institutions situating their programmes, and researchers examining the international landscape. A useful map must report both the education found and the limits of what its sources can establish.</w:t>
      </w:r>
    </w:p>
    <w:p>
      <w:r>
        <w:t>We present the Global Cybersecurity Education Observatory as a descriptive evidence atlas. The primary objective is to map the worldwide documented landscape using the records already assembled. The analysis describes geographic distribution, recorded educational forms and evidence coverage. It does not estimate a complete global stock of active programmes or assign national capacity rankings.</w:t>
      </w:r>
    </w:p>
    <w:p>
      <w:r>
        <w:t>Prior work examines programme naming [1], master's education [2], national education and training initiatives [3], and regional higher-education directories such as CyberHEAD [4]. This study contributes a cross-jurisdiction descriptive baseline with inspectable record provenance, a separate deeper pilot and explicit distinctions between a missing record and missing education. It does not claim to be the first international inventory.</w:t>
      </w:r>
    </w:p>
    <w:p>
      <w:r>
        <w:t>Three questions organize the paper. RQ1 asks where the assembled evidence locates cybersecurity education and how uneven its geographic coverage is. RQ2 asks which educational forms and levels the records describe. RQ3 asks how source composition and bounded validation constrain interpretation of that worldwide picture.</w:t>
      </w:r>
    </w:p>
    <w:p>
      <w:pPr>
        <w:pStyle w:val="Heading1"/>
      </w:pPr>
      <w:r>
        <w:t>2 Data and descriptive methods</w:t>
      </w:r>
    </w:p>
    <w:p>
      <w:r>
        <w:t>The global analysis uses the unchanged candidate and jurisdiction files frozen at 29 August 2026 [5]. A separate pilot file covers Spain, Australia, Brazil, Canada and Morocco [6]. Later audits through 2 November inform the interpretation of these sources but are not silently added to the August counts. This is an exploratory secondary analysis of an existing assembled dataset, without fresh web searches or source acquisition for this revision.</w:t>
      </w:r>
    </w:p>
    <w:p>
      <w:pPr>
        <w:keepNext/>
      </w:pPr>
      <w:r>
        <w:rPr>
          <w:sz w:val="20"/>
        </w:rPr>
        <w:t>Table 1. Evidence layers and their descriptive scope.</w:t>
      </w:r>
    </w:p>
    <w:tbl>
      <w:tblPr>
        <w:tblStyle w:val="TableGrid"/>
        <w:tblW w:type="auto" w:w="0"/>
        <w:tblLayout w:type="fixed"/>
        <w:tblLook w:firstColumn="1" w:firstRow="1" w:lastColumn="0" w:lastRow="0" w:noHBand="0" w:noVBand="1" w:val="04A0"/>
      </w:tblPr>
      <w:tblGrid>
        <w:gridCol w:w="1944"/>
        <w:gridCol w:w="2736"/>
        <w:gridCol w:w="5314"/>
      </w:tblGrid>
      <w:tr>
        <w:trPr>
          <w:tblHeader/>
          <w:cantSplit/>
        </w:trPr>
        <w:tc>
          <w:tcPr>
            <w:tcW w:type="dxa" w:w="1944"/>
            <w:shd w:fill="EAEAEA"/>
          </w:tcPr>
          <w:p>
            <w:pPr>
              <w:spacing w:after="80" w:before="80"/>
            </w:pPr>
            <w:r>
              <w:rPr>
                <w:b/>
                <w:sz w:val="19"/>
              </w:rPr>
              <w:t>Evidence layer</w:t>
            </w:r>
          </w:p>
        </w:tc>
        <w:tc>
          <w:tcPr>
            <w:tcW w:type="dxa" w:w="2736"/>
            <w:shd w:fill="EAEAEA"/>
          </w:tcPr>
          <w:p>
            <w:pPr>
              <w:spacing w:after="80" w:before="80"/>
            </w:pPr>
            <w:r>
              <w:rPr>
                <w:b/>
                <w:sz w:val="19"/>
              </w:rPr>
              <w:t>Extent</w:t>
            </w:r>
          </w:p>
        </w:tc>
        <w:tc>
          <w:tcPr>
            <w:tcW w:type="dxa" w:w="5314"/>
            <w:shd w:fill="EAEAEA"/>
          </w:tcPr>
          <w:p>
            <w:pPr>
              <w:spacing w:after="80" w:before="80"/>
            </w:pPr>
            <w:r>
              <w:rPr>
                <w:b/>
                <w:sz w:val="19"/>
              </w:rPr>
              <w:t>Interpretation</w:t>
            </w:r>
          </w:p>
        </w:tc>
      </w:tr>
      <w:tr>
        <w:trPr>
          <w:cantSplit/>
        </w:trPr>
        <w:tc>
          <w:tcPr>
            <w:tcW w:type="dxa" w:w="1944"/>
          </w:tcPr>
          <w:p>
            <w:pPr>
              <w:spacing w:after="80" w:before="80"/>
            </w:pPr>
            <w:r>
              <w:rPr>
                <w:sz w:val="19"/>
              </w:rPr>
              <w:t>Global candidates</w:t>
            </w:r>
          </w:p>
        </w:tc>
        <w:tc>
          <w:tcPr>
            <w:tcW w:type="dxa" w:w="2736"/>
          </w:tcPr>
          <w:p>
            <w:pPr>
              <w:spacing w:after="80" w:before="80"/>
            </w:pPr>
            <w:r>
              <w:rPr>
                <w:sz w:val="19"/>
              </w:rPr>
              <w:t>7,167 rows in 194 countries</w:t>
            </w:r>
          </w:p>
        </w:tc>
        <w:tc>
          <w:tcPr>
            <w:tcW w:type="dxa" w:w="5314"/>
          </w:tcPr>
          <w:p>
            <w:pPr>
              <w:spacing w:after="80" w:before="80"/>
            </w:pPr>
            <w:r>
              <w:rPr>
                <w:sz w:val="19"/>
              </w:rPr>
              <w:t>Heterogeneous retained evidence objects</w:t>
            </w:r>
          </w:p>
        </w:tc>
      </w:tr>
      <w:tr>
        <w:trPr>
          <w:cantSplit/>
        </w:trPr>
        <w:tc>
          <w:tcPr>
            <w:tcW w:type="dxa" w:w="1944"/>
          </w:tcPr>
          <w:p>
            <w:pPr>
              <w:spacing w:after="80" w:before="80"/>
            </w:pPr>
            <w:r>
              <w:rPr>
                <w:sz w:val="19"/>
              </w:rPr>
              <w:t>Five-country pilot</w:t>
            </w:r>
          </w:p>
        </w:tc>
        <w:tc>
          <w:tcPr>
            <w:tcW w:type="dxa" w:w="2736"/>
          </w:tcPr>
          <w:p>
            <w:pPr>
              <w:spacing w:after="80" w:before="80"/>
            </w:pPr>
            <w:r>
              <w:rPr>
                <w:sz w:val="19"/>
              </w:rPr>
              <w:t>616 records in 5 countries</w:t>
            </w:r>
          </w:p>
        </w:tc>
        <w:tc>
          <w:tcPr>
            <w:tcW w:type="dxa" w:w="5314"/>
          </w:tcPr>
          <w:p>
            <w:pPr>
              <w:spacing w:after="80" w:before="80"/>
            </w:pPr>
            <w:r>
              <w:rPr>
                <w:sz w:val="19"/>
              </w:rPr>
              <w:t>Deeper curation; conditional checks have separate samples</w:t>
            </w:r>
          </w:p>
        </w:tc>
      </w:tr>
      <w:tr>
        <w:trPr>
          <w:cantSplit/>
        </w:trPr>
        <w:tc>
          <w:tcPr>
            <w:tcW w:type="dxa" w:w="1944"/>
          </w:tcPr>
          <w:p>
            <w:pPr>
              <w:spacing w:after="80" w:before="80"/>
            </w:pPr>
            <w:r>
              <w:rPr>
                <w:sz w:val="19"/>
              </w:rPr>
              <w:t>Jurisdiction frame</w:t>
            </w:r>
          </w:p>
        </w:tc>
        <w:tc>
          <w:tcPr>
            <w:tcW w:type="dxa" w:w="2736"/>
          </w:tcPr>
          <w:p>
            <w:pPr>
              <w:spacing w:after="80" w:before="80"/>
            </w:pPr>
            <w:r>
              <w:rPr>
                <w:sz w:val="19"/>
              </w:rPr>
              <w:t>218 evaluated jurisdictions</w:t>
            </w:r>
          </w:p>
        </w:tc>
        <w:tc>
          <w:tcPr>
            <w:tcW w:type="dxa" w:w="5314"/>
          </w:tcPr>
          <w:p>
            <w:pPr>
              <w:spacing w:after="80" w:before="80"/>
            </w:pPr>
            <w:r>
              <w:rPr>
                <w:sz w:val="19"/>
              </w:rPr>
              <w:t>194 candidate-positive + 4 pilot-only + 20 without retained rows</w:t>
            </w:r>
          </w:p>
        </w:tc>
      </w:tr>
      <w:tr>
        <w:trPr>
          <w:cantSplit/>
        </w:trPr>
        <w:tc>
          <w:tcPr>
            <w:tcW w:type="dxa" w:w="1944"/>
          </w:tcPr>
          <w:p>
            <w:pPr>
              <w:spacing w:after="80" w:before="80"/>
            </w:pPr>
            <w:r>
              <w:rPr>
                <w:sz w:val="19"/>
              </w:rPr>
              <w:t>Later source audits</w:t>
            </w:r>
          </w:p>
        </w:tc>
        <w:tc>
          <w:tcPr>
            <w:tcW w:type="dxa" w:w="2736"/>
          </w:tcPr>
          <w:p>
            <w:pPr>
              <w:spacing w:after="80" w:before="80"/>
            </w:pPr>
            <w:r>
              <w:rPr>
                <w:sz w:val="19"/>
              </w:rPr>
              <w:t>September to 2 November 2026</w:t>
            </w:r>
          </w:p>
        </w:tc>
        <w:tc>
          <w:tcPr>
            <w:tcW w:type="dxa" w:w="5314"/>
          </w:tcPr>
          <w:p>
            <w:pPr>
              <w:spacing w:after="80" w:before="80"/>
            </w:pPr>
            <w:r>
              <w:rPr>
                <w:sz w:val="19"/>
              </w:rPr>
              <w:t>Interpretive supplements; no refreshed global census</w:t>
            </w:r>
          </w:p>
        </w:tc>
      </w:tr>
    </w:tbl>
    <w:p/>
    <w:p>
      <w:r>
        <w:t>A candidate row is the primary descriptive unit. Depending on the national source, a row can describe an award, a specialization, a programme-provider or campus instance, an administrative reporting unit, or a scope-boundary lead. A programme family groups related identities; a delivery instance concerns a location, modality or offering. These units are retained separately. The 7,167 rows are not asserted to be 7,167 unique active degree programmes.</w:t>
      </w:r>
    </w:p>
    <w:p>
      <w:r>
        <w:t>Sources include national regulatory registers, admissions and placement systems, statistical files, official directories and institutional catalogues. National and additional official languages were used where the existing collection required them. Country source descriptions and retrieval dates are retained in the jurisdiction atlas. Selection and search depth varied by country; the global collection was neither a probability sample nor an exhaustive common query applied to all jurisdictions [5–7].</w:t>
      </w:r>
    </w:p>
    <w:p>
      <w:r>
        <w:t>We count rows by country code and by the regional labels already present in the jurisdiction file, trimming whitespace only. These source-region assignments are retained for reproducibility, including their grouping of Afghanistan and Pakistan with Middle East and North Africa. Exact scope and credential labels are tabulated without an unvalidated global recoding. Institutional-label counts use distinct nonempty strings within country; they do not resolve provider identities globally. URL-field presence is calculated separately from substantive source verification.</w:t>
      </w:r>
    </w:p>
    <w:p>
      <w:r>
        <w:t>The worldwide and pilot layers are not added: Australia appears in both and record units and review depth differ. Spain, Brazil, Canada and Morocco account for the four pilot-only countries in the 218-jurisdiction reconciliation. The 20 remaining jurisdictions have no retained rows in the original consulted frames. That state cannot establish national absence; later positive signals and unresolved source boundaries remain separately documented. The pilot's 616 catalogued records must also not be confused with the smaller conditional validation samples.</w:t>
      </w:r>
    </w:p>
    <w:p>
      <w:r>
        <w:t>Existing verification checks compare found records with institutional evidence, while coverage checks use an external frame where available. Their selection was directed or conditional and their rates are reported only with their own denominators. Supplement S1 records the 400-case audit, model-coding limits, prospective protocol qualifications and later identity reconciliation. No additional human review or model calls were performed for this revision.</w:t>
      </w:r>
    </w:p>
    <w:p>
      <w:pPr>
        <w:pStyle w:val="Heading1"/>
      </w:pPr>
      <w:r>
        <w:t>3 Worldwide documented landscape</w:t>
      </w:r>
    </w:p>
    <w:p>
      <w:r>
        <w:t>The atlas covers 218 evaluated jurisdictions: 194 contribute candidate rows, four contribute pilot records only, and 20 have no retained rows in the consulted frames. This establishes a broad documented footprint across multiple education systems while leaving completeness unmeasured. Figure 1 locates the retained evidence; jurisdiction_atlas.csv provides the full 218-row lookup, including territories not visible at this map scale.</w:t>
      </w:r>
    </w:p>
    <w:p>
      <w:r>
        <w:drawing>
          <wp:inline xmlns:a="http://schemas.openxmlformats.org/drawingml/2006/main" xmlns:pic="http://schemas.openxmlformats.org/drawingml/2006/picture">
            <wp:extent cx="6345936" cy="3259503"/>
            <wp:docPr id="1" name="Picture 1"/>
            <wp:cNvGraphicFramePr>
              <a:graphicFrameLocks noChangeAspect="1"/>
            </wp:cNvGraphicFramePr>
            <a:graphic>
              <a:graphicData uri="http://schemas.openxmlformats.org/drawingml/2006/picture">
                <pic:pic>
                  <pic:nvPicPr>
                    <pic:cNvPr id="0" name="world_evidence_map.png"/>
                    <pic:cNvPicPr/>
                  </pic:nvPicPr>
                  <pic:blipFill>
                    <a:blip r:embed="rId10"/>
                    <a:stretch>
                      <a:fillRect/>
                    </a:stretch>
                  </pic:blipFill>
                  <pic:spPr>
                    <a:xfrm>
                      <a:off x="0" y="0"/>
                      <a:ext cx="6345936" cy="3259503"/>
                    </a:xfrm>
                    <a:prstGeom prst="rect"/>
                  </pic:spPr>
                </pic:pic>
              </a:graphicData>
            </a:graphic>
          </wp:inline>
        </w:drawing>
      </w:r>
    </w:p>
    <w:p>
      <w:r>
        <w:t>Figure 1. Geographic footprint of retained candidate evidence at the August cut-off. Colour bins count rows, not unique active programmes. Pilot-only countries are marked separately; Australia has candidate and pilot records and is coloured by candidate rows. Grey indicates no retained rows in the consulted frames. White indicates areas outside the evaluated atlas. Small territories are included in the accompanying table.</w:t>
      </w:r>
    </w:p>
    <w:p>
      <w:pPr>
        <w:keepNext/>
      </w:pPr>
      <w:r>
        <w:rPr>
          <w:sz w:val="20"/>
        </w:rPr>
        <w:t>Table 2. Regional coverage in the assembled atlas. Columns count jurisdictions except candidate rows.</w:t>
      </w:r>
    </w:p>
    <w:tbl>
      <w:tblPr>
        <w:tblStyle w:val="TableGrid"/>
        <w:tblW w:type="auto" w:w="0"/>
        <w:tblLayout w:type="fixed"/>
        <w:tblLook w:firstColumn="1" w:firstRow="1" w:lastColumn="0" w:lastRow="0" w:noHBand="0" w:noVBand="1" w:val="04A0"/>
      </w:tblPr>
      <w:tblGrid>
        <w:gridCol w:w="3600"/>
        <w:gridCol w:w="1224"/>
        <w:gridCol w:w="1584"/>
        <w:gridCol w:w="1440"/>
        <w:gridCol w:w="1008"/>
        <w:gridCol w:w="1138"/>
      </w:tblGrid>
      <w:tr>
        <w:trPr>
          <w:tblHeader/>
          <w:cantSplit/>
        </w:trPr>
        <w:tc>
          <w:tcPr>
            <w:tcW w:type="dxa" w:w="3600"/>
            <w:shd w:fill="EAEAEA"/>
          </w:tcPr>
          <w:p>
            <w:pPr>
              <w:spacing w:after="80" w:before="80"/>
            </w:pPr>
            <w:r>
              <w:rPr>
                <w:b/>
                <w:sz w:val="19"/>
              </w:rPr>
              <w:t>Source region</w:t>
            </w:r>
          </w:p>
        </w:tc>
        <w:tc>
          <w:tcPr>
            <w:tcW w:type="dxa" w:w="1224"/>
            <w:shd w:fill="EAEAEA"/>
          </w:tcPr>
          <w:p>
            <w:pPr>
              <w:spacing w:after="80" w:before="80"/>
            </w:pPr>
            <w:r>
              <w:rPr>
                <w:b/>
                <w:sz w:val="19"/>
              </w:rPr>
              <w:t>Evaluated</w:t>
            </w:r>
          </w:p>
        </w:tc>
        <w:tc>
          <w:tcPr>
            <w:tcW w:type="dxa" w:w="1584"/>
            <w:shd w:fill="EAEAEA"/>
          </w:tcPr>
          <w:p>
            <w:pPr>
              <w:spacing w:after="80" w:before="80"/>
            </w:pPr>
            <w:r>
              <w:rPr>
                <w:b/>
                <w:sz w:val="19"/>
              </w:rPr>
              <w:t>Candidate positive</w:t>
            </w:r>
          </w:p>
        </w:tc>
        <w:tc>
          <w:tcPr>
            <w:tcW w:type="dxa" w:w="1440"/>
            <w:shd w:fill="EAEAEA"/>
          </w:tcPr>
          <w:p>
            <w:pPr>
              <w:spacing w:after="80" w:before="80"/>
            </w:pPr>
            <w:r>
              <w:rPr>
                <w:b/>
                <w:sz w:val="19"/>
              </w:rPr>
              <w:t>Candidate rows</w:t>
            </w:r>
          </w:p>
        </w:tc>
        <w:tc>
          <w:tcPr>
            <w:tcW w:type="dxa" w:w="1008"/>
            <w:shd w:fill="EAEAEA"/>
          </w:tcPr>
          <w:p>
            <w:pPr>
              <w:spacing w:after="80" w:before="80"/>
            </w:pPr>
            <w:r>
              <w:rPr>
                <w:b/>
                <w:sz w:val="19"/>
              </w:rPr>
              <w:t>Pilot only</w:t>
            </w:r>
          </w:p>
        </w:tc>
        <w:tc>
          <w:tcPr>
            <w:tcW w:type="dxa" w:w="1138"/>
            <w:shd w:fill="EAEAEA"/>
          </w:tcPr>
          <w:p>
            <w:pPr>
              <w:spacing w:after="80" w:before="80"/>
            </w:pPr>
            <w:r>
              <w:rPr>
                <w:b/>
                <w:sz w:val="19"/>
              </w:rPr>
              <w:t>No rows</w:t>
            </w:r>
          </w:p>
        </w:tc>
      </w:tr>
      <w:tr>
        <w:trPr>
          <w:cantSplit/>
        </w:trPr>
        <w:tc>
          <w:tcPr>
            <w:tcW w:type="dxa" w:w="3600"/>
          </w:tcPr>
          <w:p>
            <w:pPr>
              <w:spacing w:after="80" w:before="80"/>
            </w:pPr>
            <w:r>
              <w:rPr>
                <w:sz w:val="19"/>
              </w:rPr>
              <w:t>East Asia &amp; Pacific</w:t>
            </w:r>
          </w:p>
        </w:tc>
        <w:tc>
          <w:tcPr>
            <w:tcW w:type="dxa" w:w="1224"/>
          </w:tcPr>
          <w:p>
            <w:pPr>
              <w:spacing w:after="80" w:before="80"/>
            </w:pPr>
            <w:r>
              <w:rPr>
                <w:sz w:val="19"/>
              </w:rPr>
              <w:t>37</w:t>
            </w:r>
          </w:p>
        </w:tc>
        <w:tc>
          <w:tcPr>
            <w:tcW w:type="dxa" w:w="1584"/>
          </w:tcPr>
          <w:p>
            <w:pPr>
              <w:spacing w:after="80" w:before="80"/>
            </w:pPr>
            <w:r>
              <w:rPr>
                <w:sz w:val="19"/>
              </w:rPr>
              <w:t>35</w:t>
            </w:r>
          </w:p>
        </w:tc>
        <w:tc>
          <w:tcPr>
            <w:tcW w:type="dxa" w:w="1440"/>
          </w:tcPr>
          <w:p>
            <w:pPr>
              <w:spacing w:after="80" w:before="80"/>
            </w:pPr>
            <w:r>
              <w:rPr>
                <w:sz w:val="19"/>
              </w:rPr>
              <w:t>1,708</w:t>
            </w:r>
          </w:p>
        </w:tc>
        <w:tc>
          <w:tcPr>
            <w:tcW w:type="dxa" w:w="1008"/>
          </w:tcPr>
          <w:p>
            <w:pPr>
              <w:spacing w:after="80" w:before="80"/>
            </w:pPr>
            <w:r>
              <w:rPr>
                <w:sz w:val="19"/>
              </w:rPr>
              <w:t>0</w:t>
            </w:r>
          </w:p>
        </w:tc>
        <w:tc>
          <w:tcPr>
            <w:tcW w:type="dxa" w:w="1138"/>
          </w:tcPr>
          <w:p>
            <w:pPr>
              <w:spacing w:after="80" w:before="80"/>
            </w:pPr>
            <w:r>
              <w:rPr>
                <w:sz w:val="19"/>
              </w:rPr>
              <w:t>2</w:t>
            </w:r>
          </w:p>
        </w:tc>
      </w:tr>
      <w:tr>
        <w:trPr>
          <w:cantSplit/>
        </w:trPr>
        <w:tc>
          <w:tcPr>
            <w:tcW w:type="dxa" w:w="3600"/>
          </w:tcPr>
          <w:p>
            <w:pPr>
              <w:spacing w:after="80" w:before="80"/>
            </w:pPr>
            <w:r>
              <w:rPr>
                <w:sz w:val="19"/>
              </w:rPr>
              <w:t>Europe &amp; Central Asia</w:t>
            </w:r>
          </w:p>
        </w:tc>
        <w:tc>
          <w:tcPr>
            <w:tcW w:type="dxa" w:w="1224"/>
          </w:tcPr>
          <w:p>
            <w:pPr>
              <w:spacing w:after="80" w:before="80"/>
            </w:pPr>
            <w:r>
              <w:rPr>
                <w:sz w:val="19"/>
              </w:rPr>
              <w:t>58</w:t>
            </w:r>
          </w:p>
        </w:tc>
        <w:tc>
          <w:tcPr>
            <w:tcW w:type="dxa" w:w="1584"/>
          </w:tcPr>
          <w:p>
            <w:pPr>
              <w:spacing w:after="80" w:before="80"/>
            </w:pPr>
            <w:r>
              <w:rPr>
                <w:sz w:val="19"/>
              </w:rPr>
              <w:t>54</w:t>
            </w:r>
          </w:p>
        </w:tc>
        <w:tc>
          <w:tcPr>
            <w:tcW w:type="dxa" w:w="1440"/>
          </w:tcPr>
          <w:p>
            <w:pPr>
              <w:spacing w:after="80" w:before="80"/>
            </w:pPr>
            <w:r>
              <w:rPr>
                <w:sz w:val="19"/>
              </w:rPr>
              <w:t>981</w:t>
            </w:r>
          </w:p>
        </w:tc>
        <w:tc>
          <w:tcPr>
            <w:tcW w:type="dxa" w:w="1008"/>
          </w:tcPr>
          <w:p>
            <w:pPr>
              <w:spacing w:after="80" w:before="80"/>
            </w:pPr>
            <w:r>
              <w:rPr>
                <w:sz w:val="19"/>
              </w:rPr>
              <w:t>1</w:t>
            </w:r>
          </w:p>
        </w:tc>
        <w:tc>
          <w:tcPr>
            <w:tcW w:type="dxa" w:w="1138"/>
          </w:tcPr>
          <w:p>
            <w:pPr>
              <w:spacing w:after="80" w:before="80"/>
            </w:pPr>
            <w:r>
              <w:rPr>
                <w:sz w:val="19"/>
              </w:rPr>
              <w:t>3</w:t>
            </w:r>
          </w:p>
        </w:tc>
      </w:tr>
      <w:tr>
        <w:trPr>
          <w:cantSplit/>
        </w:trPr>
        <w:tc>
          <w:tcPr>
            <w:tcW w:type="dxa" w:w="3600"/>
          </w:tcPr>
          <w:p>
            <w:pPr>
              <w:spacing w:after="80" w:before="80"/>
            </w:pPr>
            <w:r>
              <w:rPr>
                <w:sz w:val="19"/>
              </w:rPr>
              <w:t>Latin America &amp; Caribbean</w:t>
            </w:r>
          </w:p>
        </w:tc>
        <w:tc>
          <w:tcPr>
            <w:tcW w:type="dxa" w:w="1224"/>
          </w:tcPr>
          <w:p>
            <w:pPr>
              <w:spacing w:after="80" w:before="80"/>
            </w:pPr>
            <w:r>
              <w:rPr>
                <w:sz w:val="19"/>
              </w:rPr>
              <w:t>43</w:t>
            </w:r>
          </w:p>
        </w:tc>
        <w:tc>
          <w:tcPr>
            <w:tcW w:type="dxa" w:w="1584"/>
          </w:tcPr>
          <w:p>
            <w:pPr>
              <w:spacing w:after="80" w:before="80"/>
            </w:pPr>
            <w:r>
              <w:rPr>
                <w:sz w:val="19"/>
              </w:rPr>
              <w:t>34</w:t>
            </w:r>
          </w:p>
        </w:tc>
        <w:tc>
          <w:tcPr>
            <w:tcW w:type="dxa" w:w="1440"/>
          </w:tcPr>
          <w:p>
            <w:pPr>
              <w:spacing w:after="80" w:before="80"/>
            </w:pPr>
            <w:r>
              <w:rPr>
                <w:sz w:val="19"/>
              </w:rPr>
              <w:t>766</w:t>
            </w:r>
          </w:p>
        </w:tc>
        <w:tc>
          <w:tcPr>
            <w:tcW w:type="dxa" w:w="1008"/>
          </w:tcPr>
          <w:p>
            <w:pPr>
              <w:spacing w:after="80" w:before="80"/>
            </w:pPr>
            <w:r>
              <w:rPr>
                <w:sz w:val="19"/>
              </w:rPr>
              <w:t>1</w:t>
            </w:r>
          </w:p>
        </w:tc>
        <w:tc>
          <w:tcPr>
            <w:tcW w:type="dxa" w:w="1138"/>
          </w:tcPr>
          <w:p>
            <w:pPr>
              <w:spacing w:after="80" w:before="80"/>
            </w:pPr>
            <w:r>
              <w:rPr>
                <w:sz w:val="19"/>
              </w:rPr>
              <w:t>8</w:t>
            </w:r>
          </w:p>
        </w:tc>
      </w:tr>
      <w:tr>
        <w:trPr>
          <w:cantSplit/>
        </w:trPr>
        <w:tc>
          <w:tcPr>
            <w:tcW w:type="dxa" w:w="3600"/>
          </w:tcPr>
          <w:p>
            <w:pPr>
              <w:spacing w:after="80" w:before="80"/>
            </w:pPr>
            <w:r>
              <w:rPr>
                <w:sz w:val="19"/>
              </w:rPr>
              <w:t>Middle East, North Africa, Afghanistan &amp; Pakistan</w:t>
            </w:r>
          </w:p>
        </w:tc>
        <w:tc>
          <w:tcPr>
            <w:tcW w:type="dxa" w:w="1224"/>
          </w:tcPr>
          <w:p>
            <w:pPr>
              <w:spacing w:after="80" w:before="80"/>
            </w:pPr>
            <w:r>
              <w:rPr>
                <w:sz w:val="19"/>
              </w:rPr>
              <w:t>23</w:t>
            </w:r>
          </w:p>
        </w:tc>
        <w:tc>
          <w:tcPr>
            <w:tcW w:type="dxa" w:w="1584"/>
          </w:tcPr>
          <w:p>
            <w:pPr>
              <w:spacing w:after="80" w:before="80"/>
            </w:pPr>
            <w:r>
              <w:rPr>
                <w:sz w:val="19"/>
              </w:rPr>
              <w:t>21</w:t>
            </w:r>
          </w:p>
        </w:tc>
        <w:tc>
          <w:tcPr>
            <w:tcW w:type="dxa" w:w="1440"/>
          </w:tcPr>
          <w:p>
            <w:pPr>
              <w:spacing w:after="80" w:before="80"/>
            </w:pPr>
            <w:r>
              <w:rPr>
                <w:sz w:val="19"/>
              </w:rPr>
              <w:t>256</w:t>
            </w:r>
          </w:p>
        </w:tc>
        <w:tc>
          <w:tcPr>
            <w:tcW w:type="dxa" w:w="1008"/>
          </w:tcPr>
          <w:p>
            <w:pPr>
              <w:spacing w:after="80" w:before="80"/>
            </w:pPr>
            <w:r>
              <w:rPr>
                <w:sz w:val="19"/>
              </w:rPr>
              <w:t>1</w:t>
            </w:r>
          </w:p>
        </w:tc>
        <w:tc>
          <w:tcPr>
            <w:tcW w:type="dxa" w:w="1138"/>
          </w:tcPr>
          <w:p>
            <w:pPr>
              <w:spacing w:after="80" w:before="80"/>
            </w:pPr>
            <w:r>
              <w:rPr>
                <w:sz w:val="19"/>
              </w:rPr>
              <w:t>1</w:t>
            </w:r>
          </w:p>
        </w:tc>
      </w:tr>
      <w:tr>
        <w:trPr>
          <w:cantSplit/>
        </w:trPr>
        <w:tc>
          <w:tcPr>
            <w:tcW w:type="dxa" w:w="3600"/>
          </w:tcPr>
          <w:p>
            <w:pPr>
              <w:spacing w:after="80" w:before="80"/>
            </w:pPr>
            <w:r>
              <w:rPr>
                <w:sz w:val="19"/>
              </w:rPr>
              <w:t>North America</w:t>
            </w:r>
          </w:p>
        </w:tc>
        <w:tc>
          <w:tcPr>
            <w:tcW w:type="dxa" w:w="1224"/>
          </w:tcPr>
          <w:p>
            <w:pPr>
              <w:spacing w:after="80" w:before="80"/>
            </w:pPr>
            <w:r>
              <w:rPr>
                <w:sz w:val="19"/>
              </w:rPr>
              <w:t>3</w:t>
            </w:r>
          </w:p>
        </w:tc>
        <w:tc>
          <w:tcPr>
            <w:tcW w:type="dxa" w:w="1584"/>
          </w:tcPr>
          <w:p>
            <w:pPr>
              <w:spacing w:after="80" w:before="80"/>
            </w:pPr>
            <w:r>
              <w:rPr>
                <w:sz w:val="19"/>
              </w:rPr>
              <w:t>1</w:t>
            </w:r>
          </w:p>
        </w:tc>
        <w:tc>
          <w:tcPr>
            <w:tcW w:type="dxa" w:w="1440"/>
          </w:tcPr>
          <w:p>
            <w:pPr>
              <w:spacing w:after="80" w:before="80"/>
            </w:pPr>
            <w:r>
              <w:rPr>
                <w:sz w:val="19"/>
              </w:rPr>
              <w:t>2,602</w:t>
            </w:r>
          </w:p>
        </w:tc>
        <w:tc>
          <w:tcPr>
            <w:tcW w:type="dxa" w:w="1008"/>
          </w:tcPr>
          <w:p>
            <w:pPr>
              <w:spacing w:after="80" w:before="80"/>
            </w:pPr>
            <w:r>
              <w:rPr>
                <w:sz w:val="19"/>
              </w:rPr>
              <w:t>1</w:t>
            </w:r>
          </w:p>
        </w:tc>
        <w:tc>
          <w:tcPr>
            <w:tcW w:type="dxa" w:w="1138"/>
          </w:tcPr>
          <w:p>
            <w:pPr>
              <w:spacing w:after="80" w:before="80"/>
            </w:pPr>
            <w:r>
              <w:rPr>
                <w:sz w:val="19"/>
              </w:rPr>
              <w:t>1</w:t>
            </w:r>
          </w:p>
        </w:tc>
      </w:tr>
      <w:tr>
        <w:trPr>
          <w:cantSplit/>
        </w:trPr>
        <w:tc>
          <w:tcPr>
            <w:tcW w:type="dxa" w:w="3600"/>
          </w:tcPr>
          <w:p>
            <w:pPr>
              <w:spacing w:after="80" w:before="80"/>
            </w:pPr>
            <w:r>
              <w:rPr>
                <w:sz w:val="19"/>
              </w:rPr>
              <w:t>South Asia</w:t>
            </w:r>
          </w:p>
        </w:tc>
        <w:tc>
          <w:tcPr>
            <w:tcW w:type="dxa" w:w="1224"/>
          </w:tcPr>
          <w:p>
            <w:pPr>
              <w:spacing w:after="80" w:before="80"/>
            </w:pPr>
            <w:r>
              <w:rPr>
                <w:sz w:val="19"/>
              </w:rPr>
              <w:t>6</w:t>
            </w:r>
          </w:p>
        </w:tc>
        <w:tc>
          <w:tcPr>
            <w:tcW w:type="dxa" w:w="1584"/>
          </w:tcPr>
          <w:p>
            <w:pPr>
              <w:spacing w:after="80" w:before="80"/>
            </w:pPr>
            <w:r>
              <w:rPr>
                <w:sz w:val="19"/>
              </w:rPr>
              <w:t>5</w:t>
            </w:r>
          </w:p>
        </w:tc>
        <w:tc>
          <w:tcPr>
            <w:tcW w:type="dxa" w:w="1440"/>
          </w:tcPr>
          <w:p>
            <w:pPr>
              <w:spacing w:after="80" w:before="80"/>
            </w:pPr>
            <w:r>
              <w:rPr>
                <w:sz w:val="19"/>
              </w:rPr>
              <w:t>138</w:t>
            </w:r>
          </w:p>
        </w:tc>
        <w:tc>
          <w:tcPr>
            <w:tcW w:type="dxa" w:w="1008"/>
          </w:tcPr>
          <w:p>
            <w:pPr>
              <w:spacing w:after="80" w:before="80"/>
            </w:pPr>
            <w:r>
              <w:rPr>
                <w:sz w:val="19"/>
              </w:rPr>
              <w:t>0</w:t>
            </w:r>
          </w:p>
        </w:tc>
        <w:tc>
          <w:tcPr>
            <w:tcW w:type="dxa" w:w="1138"/>
          </w:tcPr>
          <w:p>
            <w:pPr>
              <w:spacing w:after="80" w:before="80"/>
            </w:pPr>
            <w:r>
              <w:rPr>
                <w:sz w:val="19"/>
              </w:rPr>
              <w:t>1</w:t>
            </w:r>
          </w:p>
        </w:tc>
      </w:tr>
      <w:tr>
        <w:trPr>
          <w:cantSplit/>
        </w:trPr>
        <w:tc>
          <w:tcPr>
            <w:tcW w:type="dxa" w:w="3600"/>
          </w:tcPr>
          <w:p>
            <w:pPr>
              <w:spacing w:after="80" w:before="80"/>
            </w:pPr>
            <w:r>
              <w:rPr>
                <w:sz w:val="19"/>
              </w:rPr>
              <w:t>Sub-Saharan Africa</w:t>
            </w:r>
          </w:p>
        </w:tc>
        <w:tc>
          <w:tcPr>
            <w:tcW w:type="dxa" w:w="1224"/>
          </w:tcPr>
          <w:p>
            <w:pPr>
              <w:spacing w:after="80" w:before="80"/>
            </w:pPr>
            <w:r>
              <w:rPr>
                <w:sz w:val="19"/>
              </w:rPr>
              <w:t>48</w:t>
            </w:r>
          </w:p>
        </w:tc>
        <w:tc>
          <w:tcPr>
            <w:tcW w:type="dxa" w:w="1584"/>
          </w:tcPr>
          <w:p>
            <w:pPr>
              <w:spacing w:after="80" w:before="80"/>
            </w:pPr>
            <w:r>
              <w:rPr>
                <w:sz w:val="19"/>
              </w:rPr>
              <w:t>44</w:t>
            </w:r>
          </w:p>
        </w:tc>
        <w:tc>
          <w:tcPr>
            <w:tcW w:type="dxa" w:w="1440"/>
          </w:tcPr>
          <w:p>
            <w:pPr>
              <w:spacing w:after="80" w:before="80"/>
            </w:pPr>
            <w:r>
              <w:rPr>
                <w:sz w:val="19"/>
              </w:rPr>
              <w:t>716</w:t>
            </w:r>
          </w:p>
        </w:tc>
        <w:tc>
          <w:tcPr>
            <w:tcW w:type="dxa" w:w="1008"/>
          </w:tcPr>
          <w:p>
            <w:pPr>
              <w:spacing w:after="80" w:before="80"/>
            </w:pPr>
            <w:r>
              <w:rPr>
                <w:sz w:val="19"/>
              </w:rPr>
              <w:t>0</w:t>
            </w:r>
          </w:p>
        </w:tc>
        <w:tc>
          <w:tcPr>
            <w:tcW w:type="dxa" w:w="1138"/>
          </w:tcPr>
          <w:p>
            <w:pPr>
              <w:spacing w:after="80" w:before="80"/>
            </w:pPr>
            <w:r>
              <w:rPr>
                <w:sz w:val="19"/>
              </w:rPr>
              <w:t>4</w:t>
            </w:r>
          </w:p>
        </w:tc>
      </w:tr>
    </w:tbl>
    <w:p/>
    <w:p>
      <w:r>
        <w:t>Table 2 reports distribution within the assembled evidence. For example, North America's 2,602 candidate rows all come from the United States, while Canada's 237 records belong to the separate pilot. A candidate-only regional comparison would therefore omit Canadian evidence that the project does contain. Region totals are not comparable estimates of regional educational provision.</w:t>
      </w:r>
    </w:p>
    <w:p>
      <w:r>
        <w:t>The largest candidate frames are the United States (2,602 rows), China (833), Côte d'Ivoire (311), South Korea (232) and Australia (222). Together they contribute 4,200 rows, or 58.6%. Among the 194 positive country frames, the median is seven rows and 115 have nine or fewer, jointly contributing 465 rows (6.5%) [7]. The atlas is consequently broad geographically but uneven in depth.</w:t>
      </w:r>
    </w:p>
    <w:p>
      <w:r>
        <w:t>Large files can reflect detailed administrative extraction rather than a larger stock of education. United States sample checks, for example, identify IPEDS completion-reporting units; historical completions do not establish a current admissions offer. Country rows also retain local programme names and source relations. Users should inspect those fields and the source date before interpreting the relative size of any two country frames.</w:t>
      </w:r>
    </w:p>
    <w:p>
      <w:pPr>
        <w:pStyle w:val="Heading1"/>
      </w:pPr>
      <w:r>
        <w:t>4 Educational forms and levels</w:t>
      </w:r>
    </w:p>
    <w:p>
      <w:r>
        <w:t>The records describe a range of educational routes, including bachelor's and master's awards, associate and short-cycle qualifications, certificates and embedded pathways. These are recorded labels rather than a harmonized worldwide qualification taxonomy. The global file contains 461 distinct credential-level strings and 319 scope strings. We therefore report exact labels and preserve the full frequency dictionaries instead of merging ambiguous categories into apparently comparable degree totals.</w:t>
      </w:r>
    </w:p>
    <w:p>
      <w:pPr>
        <w:keepNext/>
      </w:pPr>
      <w:r>
        <w:rPr>
          <w:sz w:val="20"/>
        </w:rPr>
        <w:t>Table 3. Most frequent exact credential labels. Percentages describe retained rows.</w:t>
      </w:r>
    </w:p>
    <w:tbl>
      <w:tblPr>
        <w:tblStyle w:val="TableGrid"/>
        <w:tblW w:type="auto" w:w="0"/>
        <w:tblLayout w:type="fixed"/>
        <w:tblLook w:firstColumn="1" w:firstRow="1" w:lastColumn="0" w:lastRow="0" w:noHBand="0" w:noVBand="1" w:val="04A0"/>
      </w:tblPr>
      <w:tblGrid>
        <w:gridCol w:w="4896"/>
        <w:gridCol w:w="2448"/>
        <w:gridCol w:w="2650"/>
      </w:tblGrid>
      <w:tr>
        <w:trPr>
          <w:tblHeader/>
          <w:cantSplit/>
        </w:trPr>
        <w:tc>
          <w:tcPr>
            <w:tcW w:type="dxa" w:w="4896"/>
            <w:shd w:fill="EAEAEA"/>
          </w:tcPr>
          <w:p>
            <w:pPr>
              <w:spacing w:after="80" w:before="80"/>
            </w:pPr>
            <w:r>
              <w:rPr>
                <w:b/>
                <w:sz w:val="19"/>
              </w:rPr>
              <w:t>Exact credential label</w:t>
            </w:r>
          </w:p>
        </w:tc>
        <w:tc>
          <w:tcPr>
            <w:tcW w:type="dxa" w:w="2448"/>
            <w:shd w:fill="EAEAEA"/>
          </w:tcPr>
          <w:p>
            <w:pPr>
              <w:spacing w:after="80" w:before="80"/>
            </w:pPr>
            <w:r>
              <w:rPr>
                <w:b/>
                <w:sz w:val="19"/>
              </w:rPr>
              <w:t>Candidate rows</w:t>
            </w:r>
          </w:p>
        </w:tc>
        <w:tc>
          <w:tcPr>
            <w:tcW w:type="dxa" w:w="2650"/>
            <w:shd w:fill="EAEAEA"/>
          </w:tcPr>
          <w:p>
            <w:pPr>
              <w:spacing w:after="80" w:before="80"/>
            </w:pPr>
            <w:r>
              <w:rPr>
                <w:b/>
                <w:sz w:val="19"/>
              </w:rPr>
              <w:t>Share of 7,167</w:t>
            </w:r>
          </w:p>
        </w:tc>
      </w:tr>
      <w:tr>
        <w:trPr>
          <w:cantSplit/>
        </w:trPr>
        <w:tc>
          <w:tcPr>
            <w:tcW w:type="dxa" w:w="4896"/>
          </w:tcPr>
          <w:p>
            <w:pPr>
              <w:spacing w:after="80" w:before="80"/>
            </w:pPr>
            <w:r>
              <w:rPr>
                <w:sz w:val="19"/>
              </w:rPr>
              <w:t>bachelor</w:t>
            </w:r>
          </w:p>
        </w:tc>
        <w:tc>
          <w:tcPr>
            <w:tcW w:type="dxa" w:w="2448"/>
          </w:tcPr>
          <w:p>
            <w:pPr>
              <w:spacing w:after="80" w:before="80"/>
            </w:pPr>
            <w:r>
              <w:rPr>
                <w:sz w:val="19"/>
              </w:rPr>
              <w:t>1,636</w:t>
            </w:r>
          </w:p>
        </w:tc>
        <w:tc>
          <w:tcPr>
            <w:tcW w:type="dxa" w:w="2650"/>
          </w:tcPr>
          <w:p>
            <w:pPr>
              <w:spacing w:after="80" w:before="80"/>
            </w:pPr>
            <w:r>
              <w:rPr>
                <w:sz w:val="19"/>
              </w:rPr>
              <w:t>22.8%</w:t>
            </w:r>
          </w:p>
        </w:tc>
      </w:tr>
      <w:tr>
        <w:trPr>
          <w:cantSplit/>
        </w:trPr>
        <w:tc>
          <w:tcPr>
            <w:tcW w:type="dxa" w:w="4896"/>
          </w:tcPr>
          <w:p>
            <w:pPr>
              <w:spacing w:after="80" w:before="80"/>
            </w:pPr>
            <w:r>
              <w:rPr>
                <w:sz w:val="19"/>
              </w:rPr>
              <w:t>certificate</w:t>
            </w:r>
          </w:p>
        </w:tc>
        <w:tc>
          <w:tcPr>
            <w:tcW w:type="dxa" w:w="2448"/>
          </w:tcPr>
          <w:p>
            <w:pPr>
              <w:spacing w:after="80" w:before="80"/>
            </w:pPr>
            <w:r>
              <w:rPr>
                <w:sz w:val="19"/>
              </w:rPr>
              <w:t>954</w:t>
            </w:r>
          </w:p>
        </w:tc>
        <w:tc>
          <w:tcPr>
            <w:tcW w:type="dxa" w:w="2650"/>
          </w:tcPr>
          <w:p>
            <w:pPr>
              <w:spacing w:after="80" w:before="80"/>
            </w:pPr>
            <w:r>
              <w:rPr>
                <w:sz w:val="19"/>
              </w:rPr>
              <w:t>13.3%</w:t>
            </w:r>
          </w:p>
        </w:tc>
      </w:tr>
      <w:tr>
        <w:trPr>
          <w:cantSplit/>
        </w:trPr>
        <w:tc>
          <w:tcPr>
            <w:tcW w:type="dxa" w:w="4896"/>
          </w:tcPr>
          <w:p>
            <w:pPr>
              <w:spacing w:after="80" w:before="80"/>
            </w:pPr>
            <w:r>
              <w:rPr>
                <w:sz w:val="19"/>
              </w:rPr>
              <w:t>master</w:t>
            </w:r>
          </w:p>
        </w:tc>
        <w:tc>
          <w:tcPr>
            <w:tcW w:type="dxa" w:w="2448"/>
          </w:tcPr>
          <w:p>
            <w:pPr>
              <w:spacing w:after="80" w:before="80"/>
            </w:pPr>
            <w:r>
              <w:rPr>
                <w:sz w:val="19"/>
              </w:rPr>
              <w:t>951</w:t>
            </w:r>
          </w:p>
        </w:tc>
        <w:tc>
          <w:tcPr>
            <w:tcW w:type="dxa" w:w="2650"/>
          </w:tcPr>
          <w:p>
            <w:pPr>
              <w:spacing w:after="80" w:before="80"/>
            </w:pPr>
            <w:r>
              <w:rPr>
                <w:sz w:val="19"/>
              </w:rPr>
              <w:t>13.3%</w:t>
            </w:r>
          </w:p>
        </w:tc>
      </w:tr>
      <w:tr>
        <w:trPr>
          <w:cantSplit/>
        </w:trPr>
        <w:tc>
          <w:tcPr>
            <w:tcW w:type="dxa" w:w="4896"/>
          </w:tcPr>
          <w:p>
            <w:pPr>
              <w:spacing w:after="80" w:before="80"/>
            </w:pPr>
            <w:r>
              <w:rPr>
                <w:sz w:val="19"/>
              </w:rPr>
              <w:t>short_cycle</w:t>
            </w:r>
          </w:p>
        </w:tc>
        <w:tc>
          <w:tcPr>
            <w:tcW w:type="dxa" w:w="2448"/>
          </w:tcPr>
          <w:p>
            <w:pPr>
              <w:spacing w:after="80" w:before="80"/>
            </w:pPr>
            <w:r>
              <w:rPr>
                <w:sz w:val="19"/>
              </w:rPr>
              <w:t>848</w:t>
            </w:r>
          </w:p>
        </w:tc>
        <w:tc>
          <w:tcPr>
            <w:tcW w:type="dxa" w:w="2650"/>
          </w:tcPr>
          <w:p>
            <w:pPr>
              <w:spacing w:after="80" w:before="80"/>
            </w:pPr>
            <w:r>
              <w:rPr>
                <w:sz w:val="19"/>
              </w:rPr>
              <w:t>11.8%</w:t>
            </w:r>
          </w:p>
        </w:tc>
      </w:tr>
      <w:tr>
        <w:trPr>
          <w:cantSplit/>
        </w:trPr>
        <w:tc>
          <w:tcPr>
            <w:tcW w:type="dxa" w:w="4896"/>
          </w:tcPr>
          <w:p>
            <w:pPr>
              <w:spacing w:after="80" w:before="80"/>
            </w:pPr>
            <w:r>
              <w:rPr>
                <w:sz w:val="19"/>
              </w:rPr>
              <w:t>associate</w:t>
            </w:r>
          </w:p>
        </w:tc>
        <w:tc>
          <w:tcPr>
            <w:tcW w:type="dxa" w:w="2448"/>
          </w:tcPr>
          <w:p>
            <w:pPr>
              <w:spacing w:after="80" w:before="80"/>
            </w:pPr>
            <w:r>
              <w:rPr>
                <w:sz w:val="19"/>
              </w:rPr>
              <w:t>612</w:t>
            </w:r>
          </w:p>
        </w:tc>
        <w:tc>
          <w:tcPr>
            <w:tcW w:type="dxa" w:w="2650"/>
          </w:tcPr>
          <w:p>
            <w:pPr>
              <w:spacing w:after="80" w:before="80"/>
            </w:pPr>
            <w:r>
              <w:rPr>
                <w:sz w:val="19"/>
              </w:rPr>
              <w:t>8.5%</w:t>
            </w:r>
          </w:p>
        </w:tc>
      </w:tr>
      <w:tr>
        <w:trPr>
          <w:cantSplit/>
        </w:trPr>
        <w:tc>
          <w:tcPr>
            <w:tcW w:type="dxa" w:w="4896"/>
          </w:tcPr>
          <w:p>
            <w:pPr>
              <w:spacing w:after="80" w:before="80"/>
            </w:pPr>
            <w:r>
              <w:rPr>
                <w:sz w:val="19"/>
              </w:rPr>
              <w:t>unspecified</w:t>
            </w:r>
          </w:p>
        </w:tc>
        <w:tc>
          <w:tcPr>
            <w:tcW w:type="dxa" w:w="2448"/>
          </w:tcPr>
          <w:p>
            <w:pPr>
              <w:spacing w:after="80" w:before="80"/>
            </w:pPr>
            <w:r>
              <w:rPr>
                <w:sz w:val="19"/>
              </w:rPr>
              <w:t>133</w:t>
            </w:r>
          </w:p>
        </w:tc>
        <w:tc>
          <w:tcPr>
            <w:tcW w:type="dxa" w:w="2650"/>
          </w:tcPr>
          <w:p>
            <w:pPr>
              <w:spacing w:after="80" w:before="80"/>
            </w:pPr>
            <w:r>
              <w:rPr>
                <w:sz w:val="19"/>
              </w:rPr>
              <w:t>1.9%</w:t>
            </w:r>
          </w:p>
        </w:tc>
      </w:tr>
      <w:tr>
        <w:trPr>
          <w:cantSplit/>
        </w:trPr>
        <w:tc>
          <w:tcPr>
            <w:tcW w:type="dxa" w:w="4896"/>
          </w:tcPr>
          <w:p>
            <w:pPr>
              <w:spacing w:after="80" w:before="80"/>
            </w:pPr>
            <w:r>
              <w:rPr>
                <w:sz w:val="19"/>
              </w:rPr>
              <w:t>All other credential labels</w:t>
            </w:r>
          </w:p>
        </w:tc>
        <w:tc>
          <w:tcPr>
            <w:tcW w:type="dxa" w:w="2448"/>
          </w:tcPr>
          <w:p>
            <w:pPr>
              <w:spacing w:after="80" w:before="80"/>
            </w:pPr>
            <w:r>
              <w:rPr>
                <w:sz w:val="19"/>
              </w:rPr>
              <w:t>2,033</w:t>
            </w:r>
          </w:p>
        </w:tc>
        <w:tc>
          <w:tcPr>
            <w:tcW w:type="dxa" w:w="2650"/>
          </w:tcPr>
          <w:p>
            <w:pPr>
              <w:spacing w:after="80" w:before="80"/>
            </w:pPr>
            <w:r>
              <w:rPr>
                <w:sz w:val="19"/>
              </w:rPr>
              <w:t>28.4%</w:t>
            </w:r>
          </w:p>
        </w:tc>
      </w:tr>
    </w:tbl>
    <w:p/>
    <w:p>
      <w:r>
        <w:t>The exact bachelor label occurs in 1,636 rows and master in 951. Certificate (954), short_cycle (848) and associate (612) demonstrate that the assembled landscape extends beyond bachelor's and master's titles. These categories do not establish internationally equivalent levels or active student places. Other strings can name the same broad level in local terminology or express unresolved level; the table therefore cannot estimate the global proportion of education at each level.</w:t>
      </w:r>
    </w:p>
    <w:p>
      <w:r>
        <w:t>The dominant exact scope label, dedicated_program, occurs in 5,453 rows (76.1%). Another 854 use scope_boundary and 198 use embedded_pathway. All other scope labels account for 662 rows. These figures describe collection labels, not verified counts of dedicated cyber degrees. In the deeper pilot, 602 records are labelled full_degree and 14 use pathway, specialization or credit-certificate labels [6]. Both layers retain the distinction between a standalone award and cybersecurity content inside a broader programme.</w:t>
      </w:r>
    </w:p>
    <w:p>
      <w:r>
        <w:t>The evidence supports a substantive descriptive observation: cybersecurity education is documented through multiple credential and curricular routes. A degree-title-only map would omit some of those routes. The present dataset cannot establish their globally comparable shares, curriculum quality, graduate outcomes, delivery intensity or accessibility to a particular learner. Language and modality fields in the pilot offer local detail, but their global completeness has not been established.</w:t>
      </w:r>
    </w:p>
    <w:p>
      <w:r>
        <w:t>Illustrative records make these routes concrete. The examples below were selected from the retained file to show differences in credential and source state, not to represent national systems or establish a current admissions list. Original row IDs, URLs, scope and temporal labels are provided in illustrative_routes.csv [5,12].</w:t>
      </w:r>
    </w:p>
    <w:p>
      <w:pPr>
        <w:keepNext/>
      </w:pPr>
      <w:r>
        <w:rPr>
          <w:sz w:val="20"/>
        </w:rPr>
        <w:t>Table 4. Illustrative educational routes and the evidence state recorded in the frozen file.</w:t>
      </w:r>
    </w:p>
    <w:tbl>
      <w:tblPr>
        <w:tblStyle w:val="TableGrid"/>
        <w:tblW w:type="auto" w:w="0"/>
        <w:tblLayout w:type="fixed"/>
        <w:tblLook w:firstColumn="1" w:firstRow="1" w:lastColumn="0" w:lastRow="0" w:noHBand="0" w:noVBand="1" w:val="04A0"/>
      </w:tblPr>
      <w:tblGrid>
        <w:gridCol w:w="2880"/>
        <w:gridCol w:w="3816"/>
        <w:gridCol w:w="3298"/>
      </w:tblGrid>
      <w:tr>
        <w:trPr>
          <w:tblHeader/>
          <w:cantSplit/>
        </w:trPr>
        <w:tc>
          <w:tcPr>
            <w:tcW w:type="dxa" w:w="2880"/>
            <w:shd w:fill="EAEAEA"/>
          </w:tcPr>
          <w:p>
            <w:pPr>
              <w:spacing w:after="80" w:before="80"/>
            </w:pPr>
            <w:r>
              <w:rPr>
                <w:b/>
                <w:sz w:val="19"/>
              </w:rPr>
              <w:t>Country and institution</w:t>
            </w:r>
          </w:p>
        </w:tc>
        <w:tc>
          <w:tcPr>
            <w:tcW w:type="dxa" w:w="3816"/>
            <w:shd w:fill="EAEAEA"/>
          </w:tcPr>
          <w:p>
            <w:pPr>
              <w:spacing w:after="80" w:before="80"/>
            </w:pPr>
            <w:r>
              <w:rPr>
                <w:b/>
                <w:sz w:val="19"/>
              </w:rPr>
              <w:t>Recorded educational route</w:t>
            </w:r>
          </w:p>
        </w:tc>
        <w:tc>
          <w:tcPr>
            <w:tcW w:type="dxa" w:w="3298"/>
            <w:shd w:fill="EAEAEA"/>
          </w:tcPr>
          <w:p>
            <w:pPr>
              <w:spacing w:after="80" w:before="80"/>
            </w:pPr>
            <w:r>
              <w:rPr>
                <w:b/>
                <w:sz w:val="19"/>
              </w:rPr>
              <w:t>Evidence state in original row</w:t>
            </w:r>
          </w:p>
        </w:tc>
      </w:tr>
      <w:tr>
        <w:trPr>
          <w:cantSplit/>
        </w:trPr>
        <w:tc>
          <w:tcPr>
            <w:tcW w:type="dxa" w:w="2880"/>
          </w:tcPr>
          <w:p>
            <w:pPr>
              <w:spacing w:after="80" w:before="80"/>
            </w:pPr>
            <w:r>
              <w:rPr>
                <w:sz w:val="19"/>
              </w:rPr>
              <w:t>United States</w:t>
              <w:br/>
              <w:t>University of Alabama at Birmingham</w:t>
            </w:r>
          </w:p>
        </w:tc>
        <w:tc>
          <w:tcPr>
            <w:tcW w:type="dxa" w:w="3816"/>
          </w:tcPr>
          <w:p>
            <w:pPr>
              <w:spacing w:after="80" w:before="80"/>
            </w:pPr>
            <w:r>
              <w:rPr>
                <w:sz w:val="19"/>
              </w:rPr>
              <w:t>Computer and Information Systems Security/Auditing/Information Assurance</w:t>
              <w:br/>
              <w:t>Master degree</w:t>
            </w:r>
          </w:p>
        </w:tc>
        <w:tc>
          <w:tcPr>
            <w:tcW w:type="dxa" w:w="3298"/>
          </w:tcPr>
          <w:p>
            <w:pPr>
              <w:spacing w:after="80" w:before="80"/>
            </w:pPr>
            <w:r>
              <w:rPr>
                <w:sz w:val="19"/>
              </w:rPr>
              <w:t>IPEDS positive awards in 2025; current admissions not established</w:t>
            </w:r>
          </w:p>
        </w:tc>
      </w:tr>
      <w:tr>
        <w:trPr>
          <w:cantSplit/>
        </w:trPr>
        <w:tc>
          <w:tcPr>
            <w:tcW w:type="dxa" w:w="2880"/>
          </w:tcPr>
          <w:p>
            <w:pPr>
              <w:spacing w:after="80" w:before="80"/>
            </w:pPr>
            <w:r>
              <w:rPr>
                <w:sz w:val="19"/>
              </w:rPr>
              <w:t>Kenya</w:t>
              <w:br/>
              <w:t>Dedan Kimathi University of Technology</w:t>
            </w:r>
          </w:p>
        </w:tc>
        <w:tc>
          <w:tcPr>
            <w:tcW w:type="dxa" w:w="3816"/>
          </w:tcPr>
          <w:p>
            <w:pPr>
              <w:spacing w:after="80" w:before="80"/>
            </w:pPr>
            <w:r>
              <w:rPr>
                <w:sz w:val="19"/>
              </w:rPr>
              <w:t>Bachelor of Science in Computer Security and Forensics</w:t>
            </w:r>
          </w:p>
        </w:tc>
        <w:tc>
          <w:tcPr>
            <w:tcW w:type="dxa" w:w="3298"/>
          </w:tcPr>
          <w:p>
            <w:pPr>
              <w:spacing w:after="80" w:before="80"/>
            </w:pPr>
            <w:r>
              <w:rPr>
                <w:sz w:val="19"/>
              </w:rPr>
              <w:t>Recorded 2026/27 placement-frame state</w:t>
            </w:r>
          </w:p>
        </w:tc>
      </w:tr>
      <w:tr>
        <w:trPr>
          <w:cantSplit/>
        </w:trPr>
        <w:tc>
          <w:tcPr>
            <w:tcW w:type="dxa" w:w="2880"/>
          </w:tcPr>
          <w:p>
            <w:pPr>
              <w:spacing w:after="80" w:before="80"/>
            </w:pPr>
            <w:r>
              <w:rPr>
                <w:sz w:val="19"/>
              </w:rPr>
              <w:t>India</w:t>
              <w:br/>
              <w:t>Chhatrapati Shahu Institute of Business Education and Research</w:t>
            </w:r>
          </w:p>
        </w:tc>
        <w:tc>
          <w:tcPr>
            <w:tcW w:type="dxa" w:w="3816"/>
          </w:tcPr>
          <w:p>
            <w:pPr>
              <w:spacing w:after="80" w:before="80"/>
            </w:pPr>
            <w:r>
              <w:rPr>
                <w:sz w:val="19"/>
              </w:rPr>
              <w:t>M.Sc. Cyber Security</w:t>
            </w:r>
          </w:p>
        </w:tc>
        <w:tc>
          <w:tcPr>
            <w:tcW w:type="dxa" w:w="3298"/>
          </w:tcPr>
          <w:p>
            <w:pPr>
              <w:spacing w:after="80" w:before="80"/>
            </w:pPr>
            <w:r>
              <w:rPr>
                <w:sz w:val="19"/>
              </w:rPr>
              <w:t>Statistical continuation label; current intake not established</w:t>
            </w:r>
          </w:p>
        </w:tc>
      </w:tr>
      <w:tr>
        <w:trPr>
          <w:cantSplit/>
        </w:trPr>
        <w:tc>
          <w:tcPr>
            <w:tcW w:type="dxa" w:w="2880"/>
          </w:tcPr>
          <w:p>
            <w:pPr>
              <w:spacing w:after="80" w:before="80"/>
            </w:pPr>
            <w:r>
              <w:rPr>
                <w:sz w:val="19"/>
              </w:rPr>
              <w:t>Chile</w:t>
              <w:br/>
              <w:t>C.F.T. CEDUC UCN</w:t>
            </w:r>
          </w:p>
        </w:tc>
        <w:tc>
          <w:tcPr>
            <w:tcW w:type="dxa" w:w="3816"/>
          </w:tcPr>
          <w:p>
            <w:pPr>
              <w:spacing w:after="80" w:before="80"/>
            </w:pPr>
            <w:r>
              <w:rPr>
                <w:sz w:val="19"/>
              </w:rPr>
              <w:t>TNS Computación e Informática — Ciberseguridad</w:t>
            </w:r>
          </w:p>
        </w:tc>
        <w:tc>
          <w:tcPr>
            <w:tcW w:type="dxa" w:w="3298"/>
          </w:tcPr>
          <w:p>
            <w:pPr>
              <w:spacing w:after="80" w:before="80"/>
            </w:pPr>
            <w:r>
              <w:rPr>
                <w:sz w:val="19"/>
              </w:rPr>
              <w:t>Embedded specialization; declared 2026 offer</w:t>
            </w:r>
          </w:p>
        </w:tc>
      </w:tr>
      <w:tr>
        <w:trPr>
          <w:cantSplit/>
        </w:trPr>
        <w:tc>
          <w:tcPr>
            <w:tcW w:type="dxa" w:w="2880"/>
          </w:tcPr>
          <w:p>
            <w:pPr>
              <w:spacing w:after="80" w:before="80"/>
            </w:pPr>
            <w:r>
              <w:rPr>
                <w:sz w:val="19"/>
              </w:rPr>
              <w:t>Indonesia</w:t>
              <w:br/>
              <w:t>Politeknik Siber dan Sandi Negara</w:t>
            </w:r>
          </w:p>
        </w:tc>
        <w:tc>
          <w:tcPr>
            <w:tcW w:type="dxa" w:w="3816"/>
          </w:tcPr>
          <w:p>
            <w:pPr>
              <w:spacing w:after="80" w:before="80"/>
            </w:pPr>
            <w:r>
              <w:rPr>
                <w:sz w:val="19"/>
              </w:rPr>
              <w:t>Rekayasa Keamanan Siber</w:t>
            </w:r>
          </w:p>
        </w:tc>
        <w:tc>
          <w:tcPr>
            <w:tcW w:type="dxa" w:w="3298"/>
          </w:tcPr>
          <w:p>
            <w:pPr>
              <w:spacing w:after="80" w:before="80"/>
            </w:pPr>
            <w:r>
              <w:rPr>
                <w:sz w:val="19"/>
              </w:rPr>
              <w:t>Dedicated-program label; level and temporal status not assessed</w:t>
            </w:r>
          </w:p>
        </w:tc>
      </w:tr>
      <w:tr>
        <w:trPr>
          <w:cantSplit/>
        </w:trPr>
        <w:tc>
          <w:tcPr>
            <w:tcW w:type="dxa" w:w="2880"/>
          </w:tcPr>
          <w:p>
            <w:pPr>
              <w:spacing w:after="80" w:before="80"/>
            </w:pPr>
            <w:r>
              <w:rPr>
                <w:sz w:val="19"/>
              </w:rPr>
              <w:t>United Kingdom</w:t>
              <w:br/>
              <w:t>Abertay University</w:t>
            </w:r>
          </w:p>
        </w:tc>
        <w:tc>
          <w:tcPr>
            <w:tcW w:type="dxa" w:w="3816"/>
          </w:tcPr>
          <w:p>
            <w:pPr>
              <w:spacing w:after="80" w:before="80"/>
            </w:pPr>
            <w:r>
              <w:rPr>
                <w:sz w:val="19"/>
              </w:rPr>
              <w:t>BSc Ethical Hacking</w:t>
            </w:r>
          </w:p>
        </w:tc>
        <w:tc>
          <w:tcPr>
            <w:tcW w:type="dxa" w:w="3298"/>
          </w:tcPr>
          <w:p>
            <w:pPr>
              <w:spacing w:after="80" w:before="80"/>
            </w:pPr>
            <w:r>
              <w:rPr>
                <w:sz w:val="19"/>
              </w:rPr>
              <w:t>Recorded listing for 2026/27</w:t>
            </w:r>
          </w:p>
        </w:tc>
      </w:tr>
    </w:tbl>
    <w:p/>
    <w:p>
      <w:pPr>
        <w:pStyle w:val="Heading1"/>
      </w:pPr>
      <w:r>
        <w:t>5 Source coverage and bounded validation</w:t>
      </w:r>
    </w:p>
    <w:p>
      <w:r>
        <w:t>Of the 7,167 candidate rows, 5,346 (74.6%) have a regulatory URL field without an institutional URL, 1,417 (19.8%) have both, and 404 (5.6%) have only an institutional URL. All rows populate at least one of these fields. Field presence documents a route to evidence; it does not establish that a link remains accessible, names the same award or proves current intake.</w:t>
      </w:r>
    </w:p>
    <w:p>
      <w:pPr>
        <w:keepNext/>
      </w:pPr>
      <w:r>
        <w:rPr>
          <w:sz w:val="20"/>
        </w:rPr>
        <w:t>Table 5. The separate five-country pilot. Counts are not added to the global layer.</w:t>
      </w:r>
    </w:p>
    <w:tbl>
      <w:tblPr>
        <w:tblStyle w:val="TableGrid"/>
        <w:tblW w:type="auto" w:w="0"/>
        <w:tblLayout w:type="fixed"/>
        <w:tblLook w:firstColumn="1" w:firstRow="1" w:lastColumn="0" w:lastRow="0" w:noHBand="0" w:noVBand="1" w:val="04A0"/>
      </w:tblPr>
      <w:tblGrid>
        <w:gridCol w:w="1440"/>
        <w:gridCol w:w="1440"/>
        <w:gridCol w:w="7114"/>
      </w:tblGrid>
      <w:tr>
        <w:trPr>
          <w:tblHeader/>
          <w:cantSplit/>
        </w:trPr>
        <w:tc>
          <w:tcPr>
            <w:tcW w:type="dxa" w:w="1440"/>
            <w:shd w:fill="EAEAEA"/>
          </w:tcPr>
          <w:p>
            <w:pPr>
              <w:spacing w:after="80" w:before="80"/>
            </w:pPr>
            <w:r>
              <w:rPr>
                <w:b/>
                <w:sz w:val="19"/>
              </w:rPr>
              <w:t>Pilot country</w:t>
            </w:r>
          </w:p>
        </w:tc>
        <w:tc>
          <w:tcPr>
            <w:tcW w:type="dxa" w:w="1440"/>
            <w:shd w:fill="EAEAEA"/>
          </w:tcPr>
          <w:p>
            <w:pPr>
              <w:spacing w:after="80" w:before="80"/>
            </w:pPr>
            <w:r>
              <w:rPr>
                <w:b/>
                <w:sz w:val="19"/>
              </w:rPr>
              <w:t>Retained records</w:t>
            </w:r>
          </w:p>
        </w:tc>
        <w:tc>
          <w:tcPr>
            <w:tcW w:type="dxa" w:w="7114"/>
            <w:shd w:fill="EAEAEA"/>
          </w:tcPr>
          <w:p>
            <w:pPr>
              <w:spacing w:after="80" w:before="80"/>
            </w:pPr>
            <w:r>
              <w:rPr>
                <w:b/>
                <w:sz w:val="19"/>
              </w:rPr>
              <w:t>Interpretation</w:t>
            </w:r>
          </w:p>
        </w:tc>
      </w:tr>
      <w:tr>
        <w:trPr>
          <w:cantSplit/>
        </w:trPr>
        <w:tc>
          <w:tcPr>
            <w:tcW w:type="dxa" w:w="1440"/>
          </w:tcPr>
          <w:p>
            <w:pPr>
              <w:spacing w:after="80" w:before="80"/>
            </w:pPr>
            <w:r>
              <w:rPr>
                <w:sz w:val="19"/>
              </w:rPr>
              <w:t>Australia</w:t>
            </w:r>
          </w:p>
        </w:tc>
        <w:tc>
          <w:tcPr>
            <w:tcW w:type="dxa" w:w="1440"/>
          </w:tcPr>
          <w:p>
            <w:pPr>
              <w:spacing w:after="80" w:before="80"/>
            </w:pPr>
            <w:r>
              <w:rPr>
                <w:sz w:val="19"/>
              </w:rPr>
              <w:t>170</w:t>
            </w:r>
          </w:p>
        </w:tc>
        <w:tc>
          <w:tcPr>
            <w:tcW w:type="dxa" w:w="7114"/>
          </w:tcPr>
          <w:p>
            <w:pPr>
              <w:spacing w:after="80" w:before="80"/>
            </w:pPr>
            <w:r>
              <w:rPr>
                <w:sz w:val="19"/>
              </w:rPr>
              <w:t>Also represented in the candidate layer; overlap not deduplicated</w:t>
            </w:r>
          </w:p>
        </w:tc>
      </w:tr>
      <w:tr>
        <w:trPr>
          <w:cantSplit/>
        </w:trPr>
        <w:tc>
          <w:tcPr>
            <w:tcW w:type="dxa" w:w="1440"/>
          </w:tcPr>
          <w:p>
            <w:pPr>
              <w:spacing w:after="80" w:before="80"/>
            </w:pPr>
            <w:r>
              <w:rPr>
                <w:sz w:val="19"/>
              </w:rPr>
              <w:t>Brazil</w:t>
            </w:r>
          </w:p>
        </w:tc>
        <w:tc>
          <w:tcPr>
            <w:tcW w:type="dxa" w:w="1440"/>
          </w:tcPr>
          <w:p>
            <w:pPr>
              <w:spacing w:after="80" w:before="80"/>
            </w:pPr>
            <w:r>
              <w:rPr>
                <w:sz w:val="19"/>
              </w:rPr>
              <w:t>121</w:t>
            </w:r>
          </w:p>
        </w:tc>
        <w:tc>
          <w:tcPr>
            <w:tcW w:type="dxa" w:w="7114"/>
          </w:tcPr>
          <w:p>
            <w:pPr>
              <w:spacing w:after="80" w:before="80"/>
            </w:pPr>
            <w:r>
              <w:rPr>
                <w:sz w:val="19"/>
              </w:rPr>
              <w:t>Pilot frame; conditional 40-case evidence check is separate</w:t>
            </w:r>
          </w:p>
        </w:tc>
      </w:tr>
      <w:tr>
        <w:trPr>
          <w:cantSplit/>
        </w:trPr>
        <w:tc>
          <w:tcPr>
            <w:tcW w:type="dxa" w:w="1440"/>
          </w:tcPr>
          <w:p>
            <w:pPr>
              <w:spacing w:after="80" w:before="80"/>
            </w:pPr>
            <w:r>
              <w:rPr>
                <w:sz w:val="19"/>
              </w:rPr>
              <w:t>Canada</w:t>
            </w:r>
          </w:p>
        </w:tc>
        <w:tc>
          <w:tcPr>
            <w:tcW w:type="dxa" w:w="1440"/>
          </w:tcPr>
          <w:p>
            <w:pPr>
              <w:spacing w:after="80" w:before="80"/>
            </w:pPr>
            <w:r>
              <w:rPr>
                <w:sz w:val="19"/>
              </w:rPr>
              <w:t>237</w:t>
            </w:r>
          </w:p>
        </w:tc>
        <w:tc>
          <w:tcPr>
            <w:tcW w:type="dxa" w:w="7114"/>
          </w:tcPr>
          <w:p>
            <w:pPr>
              <w:spacing w:after="80" w:before="80"/>
            </w:pPr>
            <w:r>
              <w:rPr>
                <w:sz w:val="19"/>
              </w:rPr>
              <w:t>Pilot frame; Ontario coverage comparison is sector-bounded</w:t>
            </w:r>
          </w:p>
        </w:tc>
      </w:tr>
      <w:tr>
        <w:trPr>
          <w:cantSplit/>
        </w:trPr>
        <w:tc>
          <w:tcPr>
            <w:tcW w:type="dxa" w:w="1440"/>
          </w:tcPr>
          <w:p>
            <w:pPr>
              <w:spacing w:after="80" w:before="80"/>
            </w:pPr>
            <w:r>
              <w:rPr>
                <w:sz w:val="19"/>
              </w:rPr>
              <w:t>Morocco</w:t>
            </w:r>
          </w:p>
        </w:tc>
        <w:tc>
          <w:tcPr>
            <w:tcW w:type="dxa" w:w="1440"/>
          </w:tcPr>
          <w:p>
            <w:pPr>
              <w:spacing w:after="80" w:before="80"/>
            </w:pPr>
            <w:r>
              <w:rPr>
                <w:sz w:val="19"/>
              </w:rPr>
              <w:t>24</w:t>
            </w:r>
          </w:p>
        </w:tc>
        <w:tc>
          <w:tcPr>
            <w:tcW w:type="dxa" w:w="7114"/>
          </w:tcPr>
          <w:p>
            <w:pPr>
              <w:spacing w:after="80" w:before="80"/>
            </w:pPr>
            <w:r>
              <w:rPr>
                <w:sz w:val="19"/>
              </w:rPr>
              <w:t>Pilot programme and campus records; no national completeness claim</w:t>
            </w:r>
          </w:p>
        </w:tc>
      </w:tr>
      <w:tr>
        <w:trPr>
          <w:cantSplit/>
        </w:trPr>
        <w:tc>
          <w:tcPr>
            <w:tcW w:type="dxa" w:w="1440"/>
          </w:tcPr>
          <w:p>
            <w:pPr>
              <w:spacing w:after="80" w:before="80"/>
            </w:pPr>
            <w:r>
              <w:rPr>
                <w:sz w:val="19"/>
              </w:rPr>
              <w:t>Spain</w:t>
            </w:r>
          </w:p>
        </w:tc>
        <w:tc>
          <w:tcPr>
            <w:tcW w:type="dxa" w:w="1440"/>
          </w:tcPr>
          <w:p>
            <w:pPr>
              <w:spacing w:after="80" w:before="80"/>
            </w:pPr>
            <w:r>
              <w:rPr>
                <w:sz w:val="19"/>
              </w:rPr>
              <w:t>64</w:t>
            </w:r>
          </w:p>
        </w:tc>
        <w:tc>
          <w:tcPr>
            <w:tcW w:type="dxa" w:w="7114"/>
          </w:tcPr>
          <w:p>
            <w:pPr>
              <w:spacing w:after="80" w:before="80"/>
            </w:pPr>
            <w:r>
              <w:rPr>
                <w:sz w:val="19"/>
              </w:rPr>
              <w:t>Pilot catalogue; staged 57-offering comparison is a different object</w:t>
            </w:r>
          </w:p>
        </w:tc>
      </w:tr>
    </w:tbl>
    <w:p/>
    <w:p>
      <w:r>
        <w:t>Existing checks illustrate why this map should be read with source context [6,7]. In Spain, staged discovery expanded from five offerings found in English to 57 after Spanish and regulatory stages; language and source changed together. In Brazil, 18 of 40 sampled candidates had direct current-page evidence, 23 had evidence when group pages were accepted, and 36 had some institutional evidence. In Canada, 35 of 40 sampled guide records were strictly confirmed, yet an external Ontario public-college comparison found 14 active omissions among 52 candidates. These results describe their own samples and frames; they are not national validation or omission rates.</w:t>
      </w:r>
    </w:p>
    <w:p>
      <w:r>
        <w:t>Counting units matter as well. A documented Netherlands frame yields 15 regulated families, 17 visible-title families or 21 delivery instances [7]. The global file correspondingly contains 7,167 candidate rows, 8,284 reported delivery instances and 4,646 country-specific institution labels. None substitutes for a global number of unique programmes or institutions. These bounded checks explain the structure of the atlas rather than supply correction factors for other countries.</w:t>
      </w:r>
    </w:p>
    <w:p>
      <w:r>
        <w:t>The separate stratified audit of 400 candidate rows produced three provisional inclusions, three provisional exclusions and 394 unresolved primary decisions [8]. It did not identify a precise eligible-current fraction and cannot estimate programmes absent from the candidate file. Later source work leaves only 14 cases without an identity signal, but identity is a different test from eligible current provision. Neither result justifies scaling the candidate count into a verified global programme estimate. Supplement S1 retains these outcomes and their limitations.</w:t>
      </w:r>
    </w:p>
    <w:p>
      <w:pPr>
        <w:pStyle w:val="Heading1"/>
      </w:pPr>
      <w:r>
        <w:t>6 Interpretation and limitations</w:t>
      </w:r>
    </w:p>
    <w:p>
      <w:r>
        <w:t>The atlas establishes that cybersecurity-related education is publicly documented across a wide range of jurisdictions and credential routes. It provides a starting point for locating named provision and examining source coverage. Sparse country evidence identifies a documentation gap in this atlas; it does not distinguish limited educational supply from limited discovery, public visibility or source granularity.</w:t>
      </w:r>
    </w:p>
    <w:p>
      <w:r>
        <w:t>Several limits constrain any account of the state of education. Source populations and search intensity differ across countries; candidate units and qualification labels are heterogeneous; identity and currency are not established for all rows; and the pilot is deeper but nonrepresentative. Cross-border award, teaching and learner geography can differ. Joint programmes and multiple campuses create unresolved overlap. The study does not measure enrolment, teaching capacity, curriculum quality, affordability, access or labour-market outcomes. In particular, the field named enrollment includes completions in the US extraction and cannot support a global student total.</w:t>
      </w:r>
    </w:p>
    <w:p>
      <w:r>
        <w:t>The map is a dated baseline. Global descriptive counts refer to August 2026, not to a synchronized November 2026 census. Later observations through 2 November are source-specific checks [9,10]; they establish no general programme opening or closure and do not constitute a completed longitudinal panel. Temporal stability and growth in worldwide provision are therefore not assessed.</w:t>
      </w:r>
    </w:p>
    <w:p>
      <w:r>
        <w:t>The concentration of retained rows cannot be interpreted as educational inequality or national preparedness. No country league table, supply-demand gap or global omission rate is estimated. The invalidity of such inferences does not erase the atlas's descriptive value: a traceable record of documented provision can support local investigation while making the limits of international comparison visible.</w:t>
      </w:r>
    </w:p>
    <w:p>
      <w:r>
        <w:t>The paper's contribution is three concrete outputs: a geographic baseline, a catalogue of recorded educational forms and a source-aware jurisdiction lookup with explicit evidence gaps. These support follow-up questions about specific countries and pathways. Claims about completeness or quality require a different design and evidence that this study does not possess.</w:t>
      </w:r>
    </w:p>
    <w:p>
      <w:pPr>
        <w:pStyle w:val="Heading1"/>
      </w:pPr>
      <w:r>
        <w:t>7 Conclusion</w:t>
      </w:r>
    </w:p>
    <w:p>
      <w:r>
        <w:t>Using existing public evidence, GCyEO maps a worldwide documented landscape across 218 evaluated jurisdictions. Its global layer contains 7,167 candidate rows in 194 countries, complemented by a separate five-country pilot of 616 records. Education is documented through degree, short-cycle, certificate and embedded routes, but country coverage and record semantics remain uneven. The resulting atlas supports discovery and contextual description; it does not estimate a complete worldwide stock of active programmes. Publishing the geographic lookup, original labels and source boundaries makes that baseline usable without concealing its uncertainty.</w:t>
      </w:r>
    </w:p>
    <w:p>
      <w:pPr>
        <w:pStyle w:val="Heading1"/>
      </w:pPr>
      <w:r>
        <w:t>Data availability and disclosure</w:t>
      </w:r>
    </w:p>
    <w:p>
      <w:r>
        <w:t>This local revision accompanies jurisdiction_atlas.csv, regional_summary.csv, credential_labels.csv, scope_labels.csv, descriptive_metrics.json, a basemap crosswalk and an artifact manifest [12]. The builder uses local files only. Original data and frozen primary decisions are unchanged. Source links refer to third-party material and do not grant redistribution rights. The earlier v3.3 preprint has a recorded Zenodo DOI [11]; this v4.0 manuscript has not been deposited or submitted by this revision.</w:t>
      </w:r>
    </w:p>
    <w:p>
      <w:r>
        <w:t>AI assisted source coding in earlier stages and the restructuring and generation of this manuscript. Earlier archived agreement results are not treated as an accuracy reference or representative human validation. Supplement S1 identifies the targeted earlier human audit and the later no-additional-human-review constraint. This revision performed no new case review by humans or external models. The author remains responsible for the analysis and manuscript.</w:t>
      </w:r>
    </w:p>
    <w:p>
      <w:pPr>
        <w:pStyle w:val="Heading1"/>
      </w:pPr>
      <w:r>
        <w:t>References</w:t>
      </w:r>
    </w:p>
    <w:p>
      <w:pPr>
        <w:spacing w:after="80" w:line="240" w:lineRule="auto"/>
      </w:pPr>
      <w:r>
        <w:rPr>
          <w:sz w:val="20"/>
        </w:rPr>
        <w:t>[1] J. Vykopal, V. Švábenský, M. T. Lopez, and P. Čeleda, Cybersecurity Study Programs: What’s in a Name?, SIGCSE TS 2025, pp. 1169–1175. doi:10.1145/3641554.3701976.</w:t>
      </w:r>
    </w:p>
    <w:p>
      <w:pPr>
        <w:spacing w:after="80" w:line="240" w:lineRule="auto"/>
      </w:pPr>
      <w:r>
        <w:rPr>
          <w:sz w:val="20"/>
        </w:rPr>
        <w:t>[2] K. Cabaj, D. Domingos, Z. Kotulski, and A. Respício, Cybersecurity education: Evolution of the discipline and analysis of master programs, Computers &amp; Security 75, pp. 24–35, 2018. doi:10.1016/j.cose.2018.01.015.</w:t>
      </w:r>
    </w:p>
    <w:p>
      <w:pPr>
        <w:spacing w:after="80" w:line="240" w:lineRule="auto"/>
      </w:pPr>
      <w:r>
        <w:rPr>
          <w:sz w:val="20"/>
        </w:rPr>
        <w:t>[3] R. Shillair et al., Cybersecurity education, awareness raising, and training initiatives, Computers &amp; Security 119, 102756, 2022. doi:10.1016/j.cose.2022.102756.</w:t>
      </w:r>
    </w:p>
    <w:p>
      <w:pPr>
        <w:spacing w:after="80" w:line="240" w:lineRule="auto"/>
      </w:pPr>
      <w:r>
        <w:rPr>
          <w:sz w:val="20"/>
        </w:rPr>
        <w:t>[4] European Union Agency for Cybersecurity, Cybersecurity Higher Education Database CyberHEAD. https://www.enisa.europa.eu/tools/cyberhead-cybersecurity-higher-education-database.</w:t>
      </w:r>
    </w:p>
    <w:p>
      <w:pPr>
        <w:spacing w:after="80" w:line="240" w:lineRule="auto"/>
      </w:pPr>
      <w:r>
        <w:rPr>
          <w:sz w:val="20"/>
        </w:rPr>
        <w:t>[5] GCyEO, frozen global candidate and country layers, cut-off 29 August 2026. app/data/wave3-candidates.json and app/data/countries.json. Exact input SHA-256 values and derived jurisdiction table accompany this manuscript in artifact_manifest.json and jurisdiction_atlas.csv.</w:t>
      </w:r>
    </w:p>
    <w:p>
      <w:pPr>
        <w:spacing w:after="80" w:line="240" w:lineRule="auto"/>
      </w:pPr>
      <w:r>
        <w:rPr>
          <w:sz w:val="20"/>
        </w:rPr>
        <w:t>[6] GCyEO, five-country pilot layer, app/data/programs.json, 616 retained records. Sampling provenance: research/outputs/GCyEO_BRA_CAN_sampling_provenance_v0.1.md. The data layer and the conditional verification samples are separate denominators.</w:t>
      </w:r>
    </w:p>
    <w:p>
      <w:pPr>
        <w:spacing w:after="80" w:line="240" w:lineRule="auto"/>
      </w:pPr>
      <w:r>
        <w:rPr>
          <w:sz w:val="20"/>
        </w:rPr>
        <w:t>[7] GCyEO, canonical 24-contrast registry and frozen headline metrics, 23 September 2026. research/outputs/GCyEO_v3_experiment_registry.json and GCyEO_v3_headline_metrics.json. Underlying source paths, hashes and identification limits are retained in the registry.</w:t>
      </w:r>
    </w:p>
    <w:p>
      <w:pPr>
        <w:spacing w:after="80" w:line="240" w:lineRule="auto"/>
      </w:pPr>
      <w:r>
        <w:rPr>
          <w:sz w:val="20"/>
        </w:rPr>
        <w:t>[8] GCyEO, probability audit execution and subsequent identity reconciliation, 2–29 October 2026. research/next_study_v3_4/probability_400_execution_report_2026-10-02.md and probability_400_unified_source_identity_ledger_v98.csv. Primary and post-result outcomes are distinct.</w:t>
      </w:r>
    </w:p>
    <w:p>
      <w:pPr>
        <w:spacing w:after="80" w:line="240" w:lineRule="auto"/>
      </w:pPr>
      <w:r>
        <w:rPr>
          <w:sz w:val="20"/>
        </w:rPr>
        <w:t>[9] GCyEO, cumulative November source-panel contrast, 2 November 2026. research/next_study_v3_4/manuscript_v3_4_180_source_index_2026-11-02.md and monthly_observation_report_2026-11-02.md. This follow-up does not update the frozen global counts.</w:t>
      </w:r>
    </w:p>
    <w:p>
      <w:pPr>
        <w:spacing w:after="80" w:line="240" w:lineRule="auto"/>
      </w:pPr>
      <w:r>
        <w:rPr>
          <w:sz w:val="20"/>
        </w:rPr>
        <w:t>[10] GCyEO, detailed measurement manuscript v3.4.180, full edition, 2 November 2026. research/outputs/GCyEO_manuscript_v3_4_180_full.docx. Preserved as the historical technical companion; its measurement-focused framing is superseded for the new descriptive manuscript.</w:t>
      </w:r>
    </w:p>
    <w:p>
      <w:pPr>
        <w:spacing w:after="80" w:line="240" w:lineRule="auto"/>
      </w:pPr>
      <w:r>
        <w:rPr>
          <w:sz w:val="20"/>
        </w:rPr>
        <w:t>[11] GCyEO, measurement preprint v3.3 and reproducibility package, 23 September 2026. doi:10.5281/zenodo.22925125. The existing deposit does not contain or publish this v4.0 revision.</w:t>
      </w:r>
    </w:p>
    <w:p>
      <w:pPr>
        <w:spacing w:after="80" w:line="240" w:lineRule="auto"/>
      </w:pPr>
      <w:r>
        <w:rPr>
          <w:sz w:val="20"/>
        </w:rPr>
        <w:t>[12] GCyEO, global mapping v4.0 descriptive outputs and analytical supplement, 2 November 2026. research/outputs/global_mapping_v4_0/. Offline reconstruction from unchanged local inputs; no new source acquisition.</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GCyEO v4.0 | full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2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20" w:after="10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